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B9C4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中南财经政法大学本科学</w:t>
      </w:r>
      <w:bookmarkStart w:id="0" w:name="_GoBack"/>
      <w:bookmarkEnd w:id="0"/>
      <w:r>
        <w:rPr>
          <w:rFonts w:hint="eastAsia"/>
        </w:rPr>
        <w:t>生学年论文</w:t>
      </w:r>
    </w:p>
    <w:p w14:paraId="55322ACD">
      <w:pPr>
        <w:pStyle w:val="2"/>
        <w:bidi w:val="0"/>
        <w:jc w:val="center"/>
      </w:pPr>
      <w:r>
        <w:rPr>
          <w:rFonts w:hint="eastAsia"/>
        </w:rPr>
        <w:t>管理办法</w:t>
      </w:r>
    </w:p>
    <w:p w14:paraId="481F69BB">
      <w:pPr>
        <w:adjustRightInd w:val="0"/>
        <w:snapToGrid w:val="0"/>
        <w:jc w:val="center"/>
        <w:rPr>
          <w:rFonts w:ascii="宋体" w:hAnsi="宋体" w:cs="仿宋_GB2312"/>
          <w:color w:val="000000"/>
          <w:kern w:val="0"/>
          <w:sz w:val="28"/>
          <w:szCs w:val="21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1"/>
        </w:rPr>
        <w:t>中南大教字〔</w:t>
      </w:r>
      <w:r>
        <w:rPr>
          <w:rFonts w:ascii="宋体" w:hAnsi="宋体" w:cs="仿宋_GB2312"/>
          <w:color w:val="000000"/>
          <w:kern w:val="0"/>
          <w:sz w:val="28"/>
          <w:szCs w:val="21"/>
        </w:rPr>
        <w:t>2005</w:t>
      </w:r>
      <w:r>
        <w:rPr>
          <w:rFonts w:hint="eastAsia" w:ascii="宋体" w:hAnsi="宋体" w:cs="仿宋_GB2312"/>
          <w:color w:val="000000"/>
          <w:kern w:val="0"/>
          <w:sz w:val="28"/>
          <w:szCs w:val="21"/>
        </w:rPr>
        <w:t>〕</w:t>
      </w:r>
      <w:r>
        <w:rPr>
          <w:rFonts w:ascii="宋体" w:hAnsi="宋体" w:cs="仿宋_GB2312"/>
          <w:color w:val="000000"/>
          <w:kern w:val="0"/>
          <w:sz w:val="28"/>
          <w:szCs w:val="21"/>
        </w:rPr>
        <w:t>15</w:t>
      </w:r>
      <w:r>
        <w:rPr>
          <w:rFonts w:hint="eastAsia" w:ascii="宋体" w:hAnsi="宋体" w:cs="仿宋_GB2312"/>
          <w:color w:val="000000"/>
          <w:kern w:val="0"/>
          <w:sz w:val="28"/>
          <w:szCs w:val="21"/>
        </w:rPr>
        <w:t>号</w:t>
      </w:r>
    </w:p>
    <w:p w14:paraId="4F211FEF">
      <w:pPr>
        <w:adjustRightInd w:val="0"/>
        <w:snapToGrid w:val="0"/>
        <w:jc w:val="center"/>
        <w:rPr>
          <w:rFonts w:ascii="宋体" w:hAnsi="宋体" w:cs="宋体"/>
          <w:snapToGrid w:val="0"/>
          <w:kern w:val="0"/>
          <w:sz w:val="28"/>
          <w:szCs w:val="21"/>
        </w:rPr>
      </w:pPr>
      <w:r>
        <w:rPr>
          <w:rFonts w:ascii="宋体" w:hAnsi="宋体" w:cs="宋体"/>
          <w:snapToGrid w:val="0"/>
          <w:kern w:val="0"/>
          <w:sz w:val="28"/>
          <w:szCs w:val="21"/>
        </w:rPr>
        <w:t>200</w:t>
      </w:r>
      <w:r>
        <w:rPr>
          <w:rFonts w:hint="eastAsia" w:ascii="宋体" w:hAnsi="宋体" w:cs="宋体"/>
          <w:snapToGrid w:val="0"/>
          <w:kern w:val="0"/>
          <w:sz w:val="28"/>
          <w:szCs w:val="21"/>
        </w:rPr>
        <w:t>5</w:t>
      </w:r>
      <w:r>
        <w:rPr>
          <w:rFonts w:ascii="宋体" w:hAnsi="宋体" w:cs="宋体"/>
          <w:snapToGrid w:val="0"/>
          <w:kern w:val="0"/>
          <w:sz w:val="28"/>
          <w:szCs w:val="21"/>
        </w:rPr>
        <w:t>年</w:t>
      </w:r>
      <w:r>
        <w:rPr>
          <w:rFonts w:hint="eastAsia" w:ascii="宋体" w:hAnsi="宋体" w:cs="宋体"/>
          <w:snapToGrid w:val="0"/>
          <w:kern w:val="0"/>
          <w:sz w:val="28"/>
          <w:szCs w:val="21"/>
        </w:rPr>
        <w:t>9</w:t>
      </w:r>
      <w:r>
        <w:rPr>
          <w:rFonts w:ascii="宋体" w:hAnsi="宋体" w:cs="宋体"/>
          <w:snapToGrid w:val="0"/>
          <w:kern w:val="0"/>
          <w:sz w:val="28"/>
          <w:szCs w:val="21"/>
        </w:rPr>
        <w:t>月</w:t>
      </w:r>
      <w:r>
        <w:rPr>
          <w:rFonts w:hint="eastAsia" w:ascii="宋体" w:hAnsi="宋体" w:cs="宋体"/>
          <w:snapToGrid w:val="0"/>
          <w:kern w:val="0"/>
          <w:sz w:val="28"/>
          <w:szCs w:val="21"/>
        </w:rPr>
        <w:t>14</w:t>
      </w:r>
      <w:r>
        <w:rPr>
          <w:rFonts w:ascii="宋体" w:hAnsi="宋体" w:cs="宋体"/>
          <w:snapToGrid w:val="0"/>
          <w:kern w:val="0"/>
          <w:sz w:val="28"/>
          <w:szCs w:val="21"/>
        </w:rPr>
        <w:t>日修订</w:t>
      </w:r>
    </w:p>
    <w:p w14:paraId="13202FC2">
      <w:pPr>
        <w:pStyle w:val="5"/>
        <w:widowControl w:val="0"/>
        <w:spacing w:before="0" w:beforeAutospacing="0" w:after="0" w:afterAutospacing="0"/>
        <w:rPr>
          <w:sz w:val="28"/>
          <w:szCs w:val="21"/>
        </w:rPr>
      </w:pPr>
    </w:p>
    <w:p w14:paraId="7B8ECA0E">
      <w:pPr>
        <w:pStyle w:val="5"/>
        <w:widowControl w:val="0"/>
        <w:adjustRightInd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第一条</w:t>
      </w:r>
      <w:r>
        <w:rPr>
          <w:rStyle w:val="8"/>
          <w:rFonts w:hint="eastAsia"/>
          <w:sz w:val="28"/>
          <w:szCs w:val="21"/>
        </w:rPr>
        <w:t xml:space="preserve">  </w:t>
      </w:r>
      <w:r>
        <w:rPr>
          <w:sz w:val="28"/>
          <w:szCs w:val="21"/>
        </w:rPr>
        <w:t>为加强对我校本科学生学年论文的管理，</w:t>
      </w:r>
      <w:r>
        <w:rPr>
          <w:rFonts w:hint="eastAsia"/>
          <w:sz w:val="28"/>
          <w:szCs w:val="21"/>
        </w:rPr>
        <w:t>保证学年论文的质量，</w:t>
      </w:r>
      <w:r>
        <w:rPr>
          <w:sz w:val="28"/>
          <w:szCs w:val="21"/>
        </w:rPr>
        <w:t>特制定本办法。</w:t>
      </w:r>
    </w:p>
    <w:p w14:paraId="4360FAEB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第二条</w:t>
      </w:r>
      <w:r>
        <w:rPr>
          <w:rStyle w:val="8"/>
          <w:rFonts w:hint="eastAsia"/>
          <w:sz w:val="28"/>
          <w:szCs w:val="21"/>
        </w:rPr>
        <w:t xml:space="preserve">  </w:t>
      </w:r>
      <w:r>
        <w:rPr>
          <w:sz w:val="28"/>
          <w:szCs w:val="21"/>
        </w:rPr>
        <w:t>按照专业教学计划安排，学年论文的写作应在</w:t>
      </w:r>
      <w:r>
        <w:rPr>
          <w:rFonts w:hint="eastAsia"/>
          <w:sz w:val="28"/>
          <w:szCs w:val="21"/>
        </w:rPr>
        <w:t>第三学年</w:t>
      </w:r>
      <w:r>
        <w:rPr>
          <w:sz w:val="28"/>
          <w:szCs w:val="21"/>
        </w:rPr>
        <w:t>课余时间进行，并与专业基础课、专业课内容相结合。学年论文通常是论述性的，但理科的学年论文可以是实验性的。</w:t>
      </w:r>
    </w:p>
    <w:p w14:paraId="45F6297A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rFonts w:hint="eastAsia"/>
          <w:sz w:val="28"/>
          <w:szCs w:val="21"/>
        </w:rPr>
        <w:t>第三条</w:t>
      </w:r>
      <w:r>
        <w:rPr>
          <w:sz w:val="28"/>
          <w:szCs w:val="21"/>
        </w:rPr>
        <w:t xml:space="preserve"> </w:t>
      </w:r>
      <w:r>
        <w:rPr>
          <w:rFonts w:hint="eastAsia"/>
          <w:sz w:val="28"/>
          <w:szCs w:val="21"/>
        </w:rPr>
        <w:t xml:space="preserve"> </w:t>
      </w:r>
      <w:r>
        <w:rPr>
          <w:sz w:val="28"/>
          <w:szCs w:val="21"/>
        </w:rPr>
        <w:t>学年论文的</w:t>
      </w:r>
      <w:r>
        <w:rPr>
          <w:rFonts w:hint="eastAsia"/>
          <w:sz w:val="28"/>
          <w:szCs w:val="21"/>
        </w:rPr>
        <w:t>选</w:t>
      </w:r>
      <w:r>
        <w:rPr>
          <w:sz w:val="28"/>
          <w:szCs w:val="21"/>
        </w:rPr>
        <w:t>题</w:t>
      </w:r>
      <w:r>
        <w:rPr>
          <w:rFonts w:hint="eastAsia"/>
          <w:sz w:val="28"/>
          <w:szCs w:val="21"/>
        </w:rPr>
        <w:t>范围</w:t>
      </w:r>
      <w:r>
        <w:rPr>
          <w:sz w:val="28"/>
          <w:szCs w:val="21"/>
        </w:rPr>
        <w:t>：</w:t>
      </w:r>
    </w:p>
    <w:p w14:paraId="3BB0384A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1</w:t>
      </w:r>
      <w:r>
        <w:rPr>
          <w:rFonts w:hint="eastAsia"/>
          <w:sz w:val="28"/>
          <w:szCs w:val="21"/>
        </w:rPr>
        <w:t>.</w:t>
      </w:r>
      <w:r>
        <w:rPr>
          <w:sz w:val="28"/>
          <w:szCs w:val="21"/>
        </w:rPr>
        <w:t>对课程中的某一部分内容进行讨论和研究；</w:t>
      </w:r>
    </w:p>
    <w:p w14:paraId="4D7F482B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2</w:t>
      </w:r>
      <w:r>
        <w:rPr>
          <w:rFonts w:hint="eastAsia"/>
          <w:sz w:val="28"/>
          <w:szCs w:val="21"/>
        </w:rPr>
        <w:t>.</w:t>
      </w:r>
      <w:r>
        <w:rPr>
          <w:sz w:val="28"/>
          <w:szCs w:val="21"/>
        </w:rPr>
        <w:t>阐明本学科理论在实际应用中的一些问题；</w:t>
      </w:r>
    </w:p>
    <w:p w14:paraId="2DD0B1C8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3</w:t>
      </w:r>
      <w:r>
        <w:rPr>
          <w:rFonts w:hint="eastAsia"/>
          <w:sz w:val="28"/>
          <w:szCs w:val="21"/>
        </w:rPr>
        <w:t>.</w:t>
      </w:r>
      <w:r>
        <w:rPr>
          <w:sz w:val="28"/>
          <w:szCs w:val="21"/>
        </w:rPr>
        <w:t>阐述本学科领域发展进程中的重大事件和重要情况；</w:t>
      </w:r>
    </w:p>
    <w:p w14:paraId="30B8E692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4</w:t>
      </w:r>
      <w:r>
        <w:rPr>
          <w:rFonts w:hint="eastAsia"/>
          <w:sz w:val="28"/>
          <w:szCs w:val="21"/>
        </w:rPr>
        <w:t>.</w:t>
      </w:r>
      <w:r>
        <w:rPr>
          <w:sz w:val="28"/>
          <w:szCs w:val="21"/>
        </w:rPr>
        <w:t>探讨本学科中某些观点或概念的历史发展及其它。</w:t>
      </w:r>
    </w:p>
    <w:p w14:paraId="574BBDA0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</w:t>
      </w:r>
      <w:r>
        <w:rPr>
          <w:rStyle w:val="8"/>
          <w:rFonts w:hint="eastAsia"/>
          <w:sz w:val="28"/>
          <w:szCs w:val="21"/>
        </w:rPr>
        <w:t>四</w:t>
      </w:r>
      <w:r>
        <w:rPr>
          <w:rStyle w:val="8"/>
          <w:sz w:val="28"/>
          <w:szCs w:val="21"/>
        </w:rPr>
        <w:t>条</w:t>
      </w:r>
      <w:r>
        <w:rPr>
          <w:sz w:val="28"/>
          <w:szCs w:val="21"/>
        </w:rPr>
        <w:t>  各学院应于学年论文工作开始前，将各教研室应指导的学年论文，书面通知有关教研室主任，再由各教研室主任将指导任务具体分配给教研室所属教师。</w:t>
      </w:r>
    </w:p>
    <w:p w14:paraId="350E9AB2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</w:t>
      </w:r>
      <w:r>
        <w:rPr>
          <w:rStyle w:val="8"/>
          <w:rFonts w:hint="eastAsia"/>
          <w:sz w:val="28"/>
          <w:szCs w:val="21"/>
        </w:rPr>
        <w:t>五</w:t>
      </w:r>
      <w:r>
        <w:rPr>
          <w:rStyle w:val="8"/>
          <w:sz w:val="28"/>
          <w:szCs w:val="21"/>
        </w:rPr>
        <w:t>条</w:t>
      </w:r>
      <w:r>
        <w:rPr>
          <w:rStyle w:val="8"/>
          <w:rFonts w:hint="eastAsia"/>
          <w:sz w:val="28"/>
          <w:szCs w:val="21"/>
        </w:rPr>
        <w:t xml:space="preserve"> </w:t>
      </w:r>
      <w:r>
        <w:rPr>
          <w:sz w:val="28"/>
          <w:szCs w:val="21"/>
        </w:rPr>
        <w:t xml:space="preserve"> 在学年论文工作开始前，指导教师须拟定论文题目，题目数应多于学生数。</w:t>
      </w:r>
    </w:p>
    <w:p w14:paraId="5DCAA56F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</w:t>
      </w:r>
      <w:r>
        <w:rPr>
          <w:rStyle w:val="8"/>
          <w:rFonts w:hint="eastAsia"/>
          <w:sz w:val="28"/>
          <w:szCs w:val="21"/>
        </w:rPr>
        <w:t>六</w:t>
      </w:r>
      <w:r>
        <w:rPr>
          <w:rStyle w:val="8"/>
          <w:sz w:val="28"/>
          <w:szCs w:val="21"/>
        </w:rPr>
        <w:t>条</w:t>
      </w:r>
      <w:r>
        <w:rPr>
          <w:rStyle w:val="8"/>
          <w:rFonts w:hint="eastAsia"/>
          <w:sz w:val="28"/>
          <w:szCs w:val="21"/>
        </w:rPr>
        <w:t xml:space="preserve"> </w:t>
      </w:r>
      <w:r>
        <w:rPr>
          <w:sz w:val="28"/>
          <w:szCs w:val="21"/>
        </w:rPr>
        <w:t> 学生选定题目后，指导教师应与学生进行交流，说明论题写作的目的和要求，并指定必读的参考资料。</w:t>
      </w:r>
    </w:p>
    <w:p w14:paraId="1F1E87F5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</w:t>
      </w:r>
      <w:r>
        <w:rPr>
          <w:rStyle w:val="8"/>
          <w:rFonts w:hint="eastAsia"/>
          <w:sz w:val="28"/>
          <w:szCs w:val="21"/>
        </w:rPr>
        <w:t>七</w:t>
      </w:r>
      <w:r>
        <w:rPr>
          <w:rStyle w:val="8"/>
          <w:sz w:val="28"/>
          <w:szCs w:val="21"/>
        </w:rPr>
        <w:t>条</w:t>
      </w:r>
      <w:r>
        <w:rPr>
          <w:sz w:val="28"/>
          <w:szCs w:val="21"/>
        </w:rPr>
        <w:t>  学年论文应达到以下要求：</w:t>
      </w:r>
    </w:p>
    <w:p w14:paraId="24C8AA15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1.系统、明确、完整地阐明论题所包括的主要问题；</w:t>
      </w:r>
    </w:p>
    <w:p w14:paraId="671A8282">
      <w:pPr>
        <w:adjustRightInd w:val="0"/>
        <w:snapToGrid w:val="0"/>
        <w:ind w:firstLine="560" w:firstLineChars="200"/>
        <w:jc w:val="left"/>
        <w:rPr>
          <w:rFonts w:ascii="宋体" w:hAnsi="宋体" w:cs="宋体"/>
          <w:snapToGrid w:val="0"/>
          <w:kern w:val="0"/>
          <w:sz w:val="28"/>
          <w:szCs w:val="21"/>
        </w:rPr>
      </w:pPr>
      <w:r>
        <w:rPr>
          <w:rFonts w:ascii="宋体" w:hAnsi="宋体"/>
          <w:sz w:val="28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.</w:t>
      </w:r>
      <w:r>
        <w:rPr>
          <w:rFonts w:ascii="宋体" w:hAnsi="宋体" w:cs="宋体"/>
          <w:snapToGrid w:val="0"/>
          <w:kern w:val="0"/>
          <w:sz w:val="28"/>
          <w:szCs w:val="21"/>
        </w:rPr>
        <w:t>观点</w:t>
      </w:r>
      <w:r>
        <w:rPr>
          <w:rFonts w:hint="eastAsia" w:ascii="宋体" w:hAnsi="宋体" w:cs="宋体"/>
          <w:snapToGrid w:val="0"/>
          <w:kern w:val="0"/>
          <w:sz w:val="28"/>
          <w:szCs w:val="21"/>
        </w:rPr>
        <w:t>明</w:t>
      </w:r>
      <w:r>
        <w:rPr>
          <w:rFonts w:ascii="宋体" w:hAnsi="宋体" w:cs="宋体"/>
          <w:snapToGrid w:val="0"/>
          <w:kern w:val="0"/>
          <w:sz w:val="28"/>
          <w:szCs w:val="21"/>
        </w:rPr>
        <w:t>确，概念清楚，结构严谨，论证充分，逻辑严密，语言流畅；</w:t>
      </w:r>
    </w:p>
    <w:p w14:paraId="5A642365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3</w:t>
      </w:r>
      <w:r>
        <w:rPr>
          <w:rFonts w:hint="eastAsia"/>
          <w:sz w:val="28"/>
          <w:szCs w:val="21"/>
        </w:rPr>
        <w:t>.</w:t>
      </w:r>
      <w:r>
        <w:rPr>
          <w:sz w:val="28"/>
          <w:szCs w:val="21"/>
        </w:rPr>
        <w:t>文理通顺，书写整洁，论文格式</w:t>
      </w:r>
      <w:r>
        <w:rPr>
          <w:rFonts w:hint="eastAsia"/>
          <w:sz w:val="28"/>
          <w:szCs w:val="21"/>
        </w:rPr>
        <w:t>规范</w:t>
      </w:r>
      <w:r>
        <w:rPr>
          <w:sz w:val="28"/>
          <w:szCs w:val="21"/>
        </w:rPr>
        <w:t>；</w:t>
      </w:r>
    </w:p>
    <w:p w14:paraId="284FD46A">
      <w:pPr>
        <w:pStyle w:val="5"/>
        <w:widowControl w:val="0"/>
        <w:snapToGrid w:val="0"/>
        <w:spacing w:before="0" w:beforeAutospacing="0" w:after="0" w:afterAutospacing="0"/>
        <w:ind w:firstLine="560" w:firstLineChars="200"/>
        <w:rPr>
          <w:sz w:val="28"/>
          <w:szCs w:val="21"/>
        </w:rPr>
      </w:pPr>
      <w:r>
        <w:rPr>
          <w:sz w:val="28"/>
          <w:szCs w:val="21"/>
        </w:rPr>
        <w:t>4</w:t>
      </w:r>
      <w:r>
        <w:rPr>
          <w:rFonts w:hint="eastAsia"/>
          <w:sz w:val="28"/>
          <w:szCs w:val="21"/>
        </w:rPr>
        <w:t>.</w:t>
      </w:r>
      <w:r>
        <w:rPr>
          <w:sz w:val="28"/>
          <w:szCs w:val="21"/>
        </w:rPr>
        <w:t>论文篇幅应在3000字以上。</w:t>
      </w:r>
    </w:p>
    <w:p w14:paraId="568CC3A1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</w:t>
      </w:r>
      <w:r>
        <w:rPr>
          <w:rStyle w:val="8"/>
          <w:rFonts w:hint="eastAsia"/>
          <w:sz w:val="28"/>
          <w:szCs w:val="21"/>
        </w:rPr>
        <w:t>八</w:t>
      </w:r>
      <w:r>
        <w:rPr>
          <w:rStyle w:val="8"/>
          <w:sz w:val="28"/>
          <w:szCs w:val="21"/>
        </w:rPr>
        <w:t>条</w:t>
      </w:r>
      <w:r>
        <w:rPr>
          <w:sz w:val="28"/>
          <w:szCs w:val="21"/>
        </w:rPr>
        <w:t xml:space="preserve"> </w:t>
      </w:r>
      <w:r>
        <w:rPr>
          <w:rFonts w:hint="eastAsia"/>
          <w:sz w:val="28"/>
          <w:szCs w:val="21"/>
        </w:rPr>
        <w:t xml:space="preserve"> </w:t>
      </w:r>
      <w:r>
        <w:rPr>
          <w:sz w:val="28"/>
          <w:szCs w:val="21"/>
        </w:rPr>
        <w:t>指导教师在批阅学生论文后，应在论文后面写下评语，指出论文优点及缺点，并按要求评定成绩。</w:t>
      </w:r>
    </w:p>
    <w:p w14:paraId="3E2FB4DE">
      <w:pPr>
        <w:pStyle w:val="5"/>
        <w:widowControl w:val="0"/>
        <w:snapToGrid w:val="0"/>
        <w:spacing w:before="0" w:beforeAutospacing="0" w:after="0" w:afterAutospacing="0"/>
        <w:ind w:firstLine="562" w:firstLineChars="200"/>
        <w:rPr>
          <w:sz w:val="28"/>
          <w:szCs w:val="21"/>
        </w:rPr>
      </w:pPr>
      <w:r>
        <w:rPr>
          <w:rStyle w:val="8"/>
          <w:sz w:val="28"/>
          <w:szCs w:val="21"/>
        </w:rPr>
        <w:t>第</w:t>
      </w:r>
      <w:r>
        <w:rPr>
          <w:rStyle w:val="8"/>
          <w:rFonts w:hint="eastAsia"/>
          <w:sz w:val="28"/>
          <w:szCs w:val="21"/>
        </w:rPr>
        <w:t>九</w:t>
      </w:r>
      <w:r>
        <w:rPr>
          <w:rStyle w:val="8"/>
          <w:sz w:val="28"/>
          <w:szCs w:val="21"/>
        </w:rPr>
        <w:t>条</w:t>
      </w:r>
      <w:r>
        <w:rPr>
          <w:sz w:val="28"/>
          <w:szCs w:val="21"/>
        </w:rPr>
        <w:t>  未完成学年论文或学年论文成绩不及格者，应在</w:t>
      </w:r>
      <w:r>
        <w:rPr>
          <w:rFonts w:hint="eastAsia"/>
          <w:sz w:val="28"/>
          <w:szCs w:val="21"/>
        </w:rPr>
        <w:t>第三学年</w:t>
      </w:r>
      <w:r>
        <w:rPr>
          <w:sz w:val="28"/>
          <w:szCs w:val="21"/>
        </w:rPr>
        <w:t>暑假期间补作，第四学年开</w:t>
      </w:r>
      <w:r>
        <w:rPr>
          <w:rFonts w:hint="eastAsia"/>
          <w:sz w:val="28"/>
          <w:szCs w:val="21"/>
        </w:rPr>
        <w:t>学</w:t>
      </w:r>
      <w:r>
        <w:rPr>
          <w:sz w:val="28"/>
          <w:szCs w:val="21"/>
        </w:rPr>
        <w:t>后两周内交指导教师批阅和评定成绩。</w:t>
      </w:r>
    </w:p>
    <w:p w14:paraId="508D58B0">
      <w:pPr>
        <w:pStyle w:val="5"/>
        <w:widowControl w:val="0"/>
        <w:snapToGrid w:val="0"/>
        <w:spacing w:before="0" w:beforeAutospacing="0" w:after="0" w:afterAutospacing="0"/>
        <w:ind w:left="422"/>
        <w:rPr>
          <w:sz w:val="28"/>
          <w:szCs w:val="21"/>
        </w:rPr>
      </w:pPr>
      <w:r>
        <w:rPr>
          <w:rStyle w:val="8"/>
          <w:rFonts w:hint="eastAsia"/>
          <w:sz w:val="28"/>
          <w:szCs w:val="21"/>
        </w:rPr>
        <w:t xml:space="preserve">第十条 </w:t>
      </w:r>
      <w:r>
        <w:rPr>
          <w:sz w:val="28"/>
          <w:szCs w:val="21"/>
        </w:rPr>
        <w:t>本办法由教务</w:t>
      </w:r>
      <w:r>
        <w:rPr>
          <w:rFonts w:hint="eastAsia"/>
          <w:sz w:val="28"/>
          <w:szCs w:val="21"/>
        </w:rPr>
        <w:t>部</w:t>
      </w:r>
      <w:r>
        <w:rPr>
          <w:sz w:val="28"/>
          <w:szCs w:val="21"/>
        </w:rPr>
        <w:t>负责解释</w:t>
      </w:r>
      <w:r>
        <w:rPr>
          <w:rFonts w:hint="eastAsia"/>
          <w:sz w:val="28"/>
          <w:szCs w:val="21"/>
        </w:rPr>
        <w:t>。</w:t>
      </w:r>
    </w:p>
    <w:p w14:paraId="1993B9D8">
      <w:pPr>
        <w:pStyle w:val="5"/>
        <w:widowControl w:val="0"/>
        <w:snapToGrid w:val="0"/>
        <w:spacing w:before="0" w:beforeAutospacing="0" w:after="0" w:afterAutospacing="0"/>
        <w:ind w:left="422"/>
        <w:rPr>
          <w:sz w:val="28"/>
          <w:szCs w:val="21"/>
        </w:rPr>
      </w:pPr>
      <w:r>
        <w:rPr>
          <w:rStyle w:val="8"/>
          <w:rFonts w:hint="eastAsia"/>
          <w:sz w:val="28"/>
          <w:szCs w:val="21"/>
        </w:rPr>
        <w:t>第十一条</w:t>
      </w:r>
      <w:r>
        <w:rPr>
          <w:rFonts w:hint="eastAsia"/>
          <w:sz w:val="28"/>
          <w:szCs w:val="21"/>
        </w:rPr>
        <w:t xml:space="preserve"> </w:t>
      </w:r>
      <w:r>
        <w:rPr>
          <w:sz w:val="28"/>
          <w:szCs w:val="21"/>
        </w:rPr>
        <w:t>本办法自</w:t>
      </w:r>
      <w:r>
        <w:rPr>
          <w:rFonts w:hint="eastAsia"/>
          <w:sz w:val="28"/>
          <w:szCs w:val="21"/>
        </w:rPr>
        <w:t>公布</w:t>
      </w:r>
      <w:r>
        <w:rPr>
          <w:sz w:val="28"/>
          <w:szCs w:val="21"/>
        </w:rPr>
        <w:t>之日起</w:t>
      </w:r>
      <w:r>
        <w:rPr>
          <w:rFonts w:hint="eastAsia"/>
          <w:sz w:val="28"/>
          <w:szCs w:val="21"/>
        </w:rPr>
        <w:t>施</w:t>
      </w:r>
      <w:r>
        <w:rPr>
          <w:sz w:val="28"/>
          <w:szCs w:val="21"/>
        </w:rPr>
        <w:t>行。</w:t>
      </w:r>
    </w:p>
    <w:p w14:paraId="6C93C8D1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ZmNjZjI0MWFkOGNhNzMzOGMzZjllZGY2ZDRlZjEifQ=="/>
  </w:docVars>
  <w:rsids>
    <w:rsidRoot w:val="00382AD0"/>
    <w:rsid w:val="002F4B57"/>
    <w:rsid w:val="003453B5"/>
    <w:rsid w:val="00382AD0"/>
    <w:rsid w:val="004E4E59"/>
    <w:rsid w:val="09F46990"/>
    <w:rsid w:val="10D26327"/>
    <w:rsid w:val="3AC0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662</Characters>
  <Lines>5</Lines>
  <Paragraphs>1</Paragraphs>
  <TotalTime>1</TotalTime>
  <ScaleCrop>false</ScaleCrop>
  <LinksUpToDate>false</LinksUpToDate>
  <CharactersWithSpaces>682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2018-10-22T01:58:00Z</dcterms:created>
  <dc:creator>李小姣</dc:creator>
  <cp:lastModifiedBy>吕润萍</cp:lastModifiedBy>
  <dcterms:modified xsi:type="dcterms:W3CDTF">2025-01-10T01:19:54Z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96F04F60B58C4F9D908C12E8A852A6C4_13</vt:lpwstr>
  </property>
</Properties>
</file>